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RESOLUÇÃO </w:t>
      </w:r>
      <w:r w:rsidDel="00000000" w:rsidR="00000000" w:rsidRPr="00000000">
        <w:rPr>
          <w:b w:val="1"/>
          <w:color w:val="00b0f0"/>
          <w:rtl w:val="0"/>
        </w:rPr>
        <w:t xml:space="preserve">[SIGLA ÓRG/ENT] </w:t>
      </w:r>
      <w:r w:rsidDel="00000000" w:rsidR="00000000" w:rsidRPr="00000000">
        <w:rPr>
          <w:b w:val="1"/>
          <w:rtl w:val="0"/>
        </w:rPr>
        <w:t xml:space="preserve">Nº ___, de </w:t>
      </w:r>
      <w:r w:rsidDel="00000000" w:rsidR="00000000" w:rsidRPr="00000000">
        <w:rPr>
          <w:b w:val="1"/>
          <w:color w:val="00b0f0"/>
          <w:rtl w:val="0"/>
        </w:rPr>
        <w:t xml:space="preserve">[DIA de MêS de ANO]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2">
      <w:pPr>
        <w:ind w:left="2832" w:firstLine="0"/>
        <w:jc w:val="both"/>
        <w:rPr>
          <w:b w:val="1"/>
        </w:rPr>
      </w:pPr>
      <w:r w:rsidDel="00000000" w:rsidR="00000000" w:rsidRPr="00000000">
        <w:rPr>
          <w:b w:val="1"/>
          <w:color w:val="00b0f0"/>
          <w:rtl w:val="0"/>
        </w:rPr>
        <w:t xml:space="preserve">[CRIA/ALTERA]</w:t>
      </w:r>
      <w:r w:rsidDel="00000000" w:rsidR="00000000" w:rsidRPr="00000000">
        <w:rPr>
          <w:b w:val="1"/>
          <w:rtl w:val="0"/>
        </w:rPr>
        <w:t xml:space="preserve"> A ORGANIZAÇÃO DE CONTROLE PATRIMONIAL, DESIGNA O GESTOR DE BENS MÓVEIS DA </w:t>
      </w:r>
      <w:r w:rsidDel="00000000" w:rsidR="00000000" w:rsidRPr="00000000">
        <w:rPr>
          <w:b w:val="1"/>
          <w:color w:val="00b0f0"/>
          <w:rtl w:val="0"/>
        </w:rPr>
        <w:t xml:space="preserve">[NOME ÓRGÃO/ENTIDADE]</w:t>
      </w:r>
      <w:r w:rsidDel="00000000" w:rsidR="00000000" w:rsidRPr="00000000">
        <w:rPr>
          <w:b w:val="1"/>
          <w:rtl w:val="0"/>
        </w:rPr>
        <w:t xml:space="preserve"> E DÁ OUTRAS PROVIDÊNCIAS.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O(A) </w:t>
      </w:r>
      <w:r w:rsidDel="00000000" w:rsidR="00000000" w:rsidRPr="00000000">
        <w:rPr>
          <w:b w:val="1"/>
          <w:color w:val="00b0f0"/>
          <w:rtl w:val="0"/>
        </w:rPr>
        <w:t xml:space="preserve">[CARGO DO(A) TITULAR DA U.G.] </w:t>
      </w:r>
      <w:r w:rsidDel="00000000" w:rsidR="00000000" w:rsidRPr="00000000">
        <w:rPr>
          <w:b w:val="1"/>
          <w:rtl w:val="0"/>
        </w:rPr>
        <w:t xml:space="preserve">do(a) </w:t>
      </w:r>
      <w:r w:rsidDel="00000000" w:rsidR="00000000" w:rsidRPr="00000000">
        <w:rPr>
          <w:b w:val="1"/>
          <w:color w:val="00b0f0"/>
          <w:rtl w:val="0"/>
        </w:rPr>
        <w:t xml:space="preserve">[NOME ÓRGÃO/ENTIDADE]</w:t>
      </w:r>
      <w:r w:rsidDel="00000000" w:rsidR="00000000" w:rsidRPr="00000000">
        <w:rPr>
          <w:rtl w:val="0"/>
        </w:rPr>
        <w:t xml:space="preserve">, no uso de suas atribuições legais, e em atenção ao disposto no Processo nº SEI__________,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CONSIDERANDO</w:t>
      </w:r>
      <w:r w:rsidDel="00000000" w:rsidR="00000000" w:rsidRPr="00000000">
        <w:rPr>
          <w:rtl w:val="0"/>
        </w:rPr>
        <w:t xml:space="preserve"> a necessidade de adequação da organização patrimonial e a relação das subdivisões desta </w:t>
      </w:r>
      <w:r w:rsidDel="00000000" w:rsidR="00000000" w:rsidRPr="00000000">
        <w:rPr>
          <w:color w:val="00b0f0"/>
          <w:rtl w:val="0"/>
        </w:rPr>
        <w:t xml:space="preserve">[Secretaria de Estado/Entidade] </w:t>
      </w:r>
      <w:r w:rsidDel="00000000" w:rsidR="00000000" w:rsidRPr="00000000">
        <w:rPr>
          <w:rtl w:val="0"/>
        </w:rPr>
        <w:t xml:space="preserve">aos parâmetros estabelecidos pelo Decreto Estadual nº 49.289, de 17 de setembro de 2024,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RESOLVE: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Art. 1º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organização e o funcionamento interno das atividades relacionadas à gestão de bens móveis da </w:t>
      </w:r>
      <w:r w:rsidDel="00000000" w:rsidR="00000000" w:rsidRPr="00000000">
        <w:rPr>
          <w:color w:val="00b0f0"/>
          <w:rtl w:val="0"/>
        </w:rPr>
        <w:t xml:space="preserve">[NOME ÓRG/ENT]</w:t>
      </w:r>
      <w:r w:rsidDel="00000000" w:rsidR="00000000" w:rsidRPr="00000000">
        <w:rPr>
          <w:b w:val="1"/>
          <w:color w:val="00b0f0"/>
          <w:rtl w:val="0"/>
        </w:rPr>
        <w:t xml:space="preserve"> </w:t>
      </w:r>
      <w:r w:rsidDel="00000000" w:rsidR="00000000" w:rsidRPr="00000000">
        <w:rPr>
          <w:rtl w:val="0"/>
        </w:rPr>
        <w:t xml:space="preserve">seguem o disposto nesta Resolução.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Art. 2º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Gestão de Bens Móveis da Unidade Patrimonial </w:t>
      </w:r>
      <w:r w:rsidDel="00000000" w:rsidR="00000000" w:rsidRPr="00000000">
        <w:rPr>
          <w:color w:val="00b0f0"/>
          <w:rtl w:val="0"/>
        </w:rPr>
        <w:t xml:space="preserve">[SIGLA ÓRG/ENT]</w:t>
      </w:r>
      <w:r w:rsidDel="00000000" w:rsidR="00000000" w:rsidRPr="00000000">
        <w:rPr>
          <w:b w:val="1"/>
          <w:color w:val="00b0f0"/>
          <w:rtl w:val="0"/>
        </w:rPr>
        <w:t xml:space="preserve"> </w:t>
      </w:r>
      <w:r w:rsidDel="00000000" w:rsidR="00000000" w:rsidRPr="00000000">
        <w:rPr>
          <w:rtl w:val="0"/>
        </w:rPr>
        <w:t xml:space="preserve">será exercida pelo(a) Gestor(a) de Bens Móveis, lotado(a) na </w:t>
      </w:r>
      <w:r w:rsidDel="00000000" w:rsidR="00000000" w:rsidRPr="00000000">
        <w:rPr>
          <w:color w:val="00b0f0"/>
          <w:rtl w:val="0"/>
        </w:rPr>
        <w:t xml:space="preserve">[Nome da DIRETORIA/COORDENAÇÃO/SETOR DE PATRIMÔNIO] </w:t>
      </w:r>
      <w:r w:rsidDel="00000000" w:rsidR="00000000" w:rsidRPr="00000000">
        <w:rPr>
          <w:rtl w:val="0"/>
        </w:rPr>
        <w:t xml:space="preserve">ou pelo(a) substituto(a) eventual, designados(as) conforme Anexo I desta Resolução.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Art. 3º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Unidade Gestora </w:t>
      </w:r>
      <w:r w:rsidDel="00000000" w:rsidR="00000000" w:rsidRPr="00000000">
        <w:rPr>
          <w:color w:val="00b0f0"/>
          <w:rtl w:val="0"/>
        </w:rPr>
        <w:t xml:space="preserve">[SIGLA ÓRG/ENT]</w:t>
      </w:r>
      <w:r w:rsidDel="00000000" w:rsidR="00000000" w:rsidRPr="00000000">
        <w:rPr>
          <w:b w:val="1"/>
          <w:color w:val="00b0f0"/>
          <w:rtl w:val="0"/>
        </w:rPr>
        <w:t xml:space="preserve"> </w:t>
      </w:r>
      <w:r w:rsidDel="00000000" w:rsidR="00000000" w:rsidRPr="00000000">
        <w:rPr>
          <w:rtl w:val="0"/>
        </w:rPr>
        <w:t xml:space="preserve">será dividida em</w:t>
      </w:r>
      <w:r w:rsidDel="00000000" w:rsidR="00000000" w:rsidRPr="00000000">
        <w:rPr>
          <w:color w:val="00b0f0"/>
          <w:rtl w:val="0"/>
        </w:rPr>
        <w:t xml:space="preserve"> [Escolher uma das opções a seguir: Unidades Administrativas </w:t>
      </w:r>
      <w:r w:rsidDel="00000000" w:rsidR="00000000" w:rsidRPr="00000000">
        <w:rPr>
          <w:color w:val="00b0f0"/>
          <w:u w:val="single"/>
          <w:rtl w:val="0"/>
        </w:rPr>
        <w:t xml:space="preserve">OU</w:t>
      </w:r>
      <w:r w:rsidDel="00000000" w:rsidR="00000000" w:rsidRPr="00000000">
        <w:rPr>
          <w:color w:val="00b0f0"/>
          <w:rtl w:val="0"/>
        </w:rPr>
        <w:t xml:space="preserve"> Unidades Administrativas e Subunidades OU Subunidades]</w:t>
      </w:r>
      <w:r w:rsidDel="00000000" w:rsidR="00000000" w:rsidRPr="00000000">
        <w:rPr>
          <w:rtl w:val="0"/>
        </w:rPr>
        <w:t xml:space="preserve">, considerando a estrutura organizacional, espaço físico e quantidade de bens, ou outro fator que o(a) Gestor(a) de Bens Móveis considere pertinente.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§ 1º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b0f0"/>
          <w:rtl w:val="0"/>
        </w:rPr>
        <w:t xml:space="preserve">[Escolher uma das opções a seguir, de acordo com a distribuição escolhida no </w:t>
      </w:r>
      <w:r w:rsidDel="00000000" w:rsidR="00000000" w:rsidRPr="00000000">
        <w:rPr>
          <w:i w:val="1"/>
          <w:color w:val="00b0f0"/>
          <w:rtl w:val="0"/>
        </w:rPr>
        <w:t xml:space="preserve">caput</w:t>
      </w:r>
      <w:r w:rsidDel="00000000" w:rsidR="00000000" w:rsidRPr="00000000">
        <w:rPr>
          <w:color w:val="00b0f0"/>
          <w:rtl w:val="0"/>
        </w:rPr>
        <w:t xml:space="preserve">: Para cada Unidade Administrativa será designado(a) um(a) Agente de bens móveis e seu(ua) substituto(a) eventual </w:t>
      </w:r>
      <w:r w:rsidDel="00000000" w:rsidR="00000000" w:rsidRPr="00000000">
        <w:rPr>
          <w:color w:val="00b0f0"/>
          <w:u w:val="single"/>
          <w:rtl w:val="0"/>
        </w:rPr>
        <w:t xml:space="preserve">OU</w:t>
      </w:r>
      <w:r w:rsidDel="00000000" w:rsidR="00000000" w:rsidRPr="00000000">
        <w:rPr>
          <w:color w:val="00b0f0"/>
          <w:rtl w:val="0"/>
        </w:rPr>
        <w:t xml:space="preserve"> Para cada Unidade Administrativa será designado(a) um(a) Agente de bens móveis e para cada Subunidade, um(a) Encarregado(a) bens móveis e seus(uas) substitutos(as) eventuais </w:t>
      </w:r>
      <w:r w:rsidDel="00000000" w:rsidR="00000000" w:rsidRPr="00000000">
        <w:rPr>
          <w:color w:val="00b0f0"/>
          <w:u w:val="single"/>
          <w:rtl w:val="0"/>
        </w:rPr>
        <w:t xml:space="preserve">OU</w:t>
      </w:r>
      <w:r w:rsidDel="00000000" w:rsidR="00000000" w:rsidRPr="00000000">
        <w:rPr>
          <w:color w:val="00b0f0"/>
          <w:rtl w:val="0"/>
        </w:rPr>
        <w:t xml:space="preserve"> Para cada Subunidade será designado(a) um(a) Encarregado(a) bens móveis e seu(ua) substituto(a) eventual]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§ 2º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Ficam </w:t>
      </w:r>
      <w:r w:rsidDel="00000000" w:rsidR="00000000" w:rsidRPr="00000000">
        <w:rPr>
          <w:color w:val="00b0f0"/>
          <w:rtl w:val="0"/>
        </w:rPr>
        <w:t xml:space="preserve">[criadas/alteradas] </w:t>
      </w:r>
      <w:r w:rsidDel="00000000" w:rsidR="00000000" w:rsidRPr="00000000">
        <w:rPr>
          <w:rtl w:val="0"/>
        </w:rPr>
        <w:t xml:space="preserve">as </w:t>
      </w:r>
      <w:r w:rsidDel="00000000" w:rsidR="00000000" w:rsidRPr="00000000">
        <w:rPr>
          <w:color w:val="00b0f0"/>
          <w:rtl w:val="0"/>
        </w:rPr>
        <w:t xml:space="preserve">[Escolher uma das opções a seguir, de acordo com a distribuição escolhida no </w:t>
      </w:r>
      <w:r w:rsidDel="00000000" w:rsidR="00000000" w:rsidRPr="00000000">
        <w:rPr>
          <w:i w:val="1"/>
          <w:color w:val="00b0f0"/>
          <w:rtl w:val="0"/>
        </w:rPr>
        <w:t xml:space="preserve">caput</w:t>
      </w:r>
      <w:r w:rsidDel="00000000" w:rsidR="00000000" w:rsidRPr="00000000">
        <w:rPr>
          <w:color w:val="00b0f0"/>
          <w:rtl w:val="0"/>
        </w:rPr>
        <w:t xml:space="preserve">: Unidades Administrativas, com as respectivas indicações de seus Agentes bens móveis </w:t>
      </w:r>
      <w:r w:rsidDel="00000000" w:rsidR="00000000" w:rsidRPr="00000000">
        <w:rPr>
          <w:color w:val="00b0f0"/>
          <w:u w:val="single"/>
          <w:rtl w:val="0"/>
        </w:rPr>
        <w:t xml:space="preserve">OU</w:t>
      </w:r>
      <w:r w:rsidDel="00000000" w:rsidR="00000000" w:rsidRPr="00000000">
        <w:rPr>
          <w:color w:val="00b0f0"/>
          <w:rtl w:val="0"/>
        </w:rPr>
        <w:t xml:space="preserve"> Unidades Administrativas e Subunidades, com as respectivas indicações de seus Agentes e Encarregados(as) bens móveis </w:t>
      </w:r>
      <w:r w:rsidDel="00000000" w:rsidR="00000000" w:rsidRPr="00000000">
        <w:rPr>
          <w:color w:val="00b0f0"/>
          <w:u w:val="single"/>
          <w:rtl w:val="0"/>
        </w:rPr>
        <w:t xml:space="preserve">OU</w:t>
      </w:r>
      <w:r w:rsidDel="00000000" w:rsidR="00000000" w:rsidRPr="00000000">
        <w:rPr>
          <w:color w:val="00b0f0"/>
          <w:rtl w:val="0"/>
        </w:rPr>
        <w:t xml:space="preserve"> Subunidades, com as respectivas indicações de seus Encarregados bens móveis]</w:t>
      </w:r>
      <w:r w:rsidDel="00000000" w:rsidR="00000000" w:rsidRPr="00000000">
        <w:rPr>
          <w:rtl w:val="0"/>
        </w:rPr>
        <w:t xml:space="preserve">, conforme Anexo II desta Resolução.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§ 3º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Os substitutos eventuais tratados nos §§ 1º e 2º deste artigo deverão assumir, por um determinado período de tempo, a responsabilidade pela unidade gestora, unidade administrativa ou subunidade, no caso de ausência eventual, como férias, licenças e afins do gestor, agente ou encarregado, respectivamente.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Art. 4º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As atividades de gestão de bens móveis da </w:t>
      </w:r>
      <w:r w:rsidDel="00000000" w:rsidR="00000000" w:rsidRPr="00000000">
        <w:rPr>
          <w:color w:val="00b0f0"/>
          <w:rtl w:val="0"/>
        </w:rPr>
        <w:t xml:space="preserve">[NOME ÓRG/ENT]</w:t>
      </w:r>
      <w:r w:rsidDel="00000000" w:rsidR="00000000" w:rsidRPr="00000000">
        <w:rPr>
          <w:rtl w:val="0"/>
        </w:rPr>
        <w:t xml:space="preserve">, previstas no art. 22 do Decreto Estadual nº 49.289, de 17 de setembro de 2024, deverão ser desenvolvidas pelo(a) Gestor(a), Agentes e Encarregados(as) de bens móveis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obedecendo ao disposto na legislação vigente e nas orientações dos órgãos de controle.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Art. 5º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Esta Resolução entra em vigor na data de sua publicação, revogadas as disposições em contrário.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Rio de Janeiro, </w:t>
      </w:r>
      <w:r w:rsidDel="00000000" w:rsidR="00000000" w:rsidRPr="00000000">
        <w:rPr>
          <w:color w:val="00b0f0"/>
          <w:rtl w:val="0"/>
        </w:rPr>
        <w:t xml:space="preserve">[DIA de MêS de 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color w:val="00b0f0"/>
          <w:rtl w:val="0"/>
        </w:rPr>
        <w:t xml:space="preserve">[NOME DO(A) TITULAR DA U.G.]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color w:val="00b0f0"/>
        </w:rPr>
      </w:pPr>
      <w:bookmarkStart w:colFirst="0" w:colLast="0" w:name="_heading=h.gjdgxs" w:id="0"/>
      <w:bookmarkEnd w:id="0"/>
      <w:r w:rsidDel="00000000" w:rsidR="00000000" w:rsidRPr="00000000">
        <w:rPr>
          <w:color w:val="00b0f0"/>
          <w:rtl w:val="0"/>
        </w:rPr>
        <w:t xml:space="preserve">[NOME ÓRGÃO/ENTIDADE]</w:t>
      </w:r>
    </w:p>
    <w:p w:rsidR="00000000" w:rsidDel="00000000" w:rsidP="00000000" w:rsidRDefault="00000000" w:rsidRPr="00000000" w14:paraId="00000011">
      <w:pPr>
        <w:jc w:val="center"/>
        <w:rPr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Anexo I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  <w:t xml:space="preserve">Unidade Gestora: </w:t>
            </w:r>
            <w:r w:rsidDel="00000000" w:rsidR="00000000" w:rsidRPr="00000000">
              <w:rPr>
                <w:color w:val="00b0f0"/>
                <w:rtl w:val="0"/>
              </w:rPr>
              <w:t xml:space="preserve">[NOME ÓRGÃO/ENTIDADE]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  <w:t xml:space="preserve">Gestor(a) de Bens Móveis: </w:t>
            </w:r>
            <w:r w:rsidDel="00000000" w:rsidR="00000000" w:rsidRPr="00000000">
              <w:rPr>
                <w:color w:val="00b0f0"/>
                <w:rtl w:val="0"/>
              </w:rPr>
              <w:t xml:space="preserve">[Nome completo e ID Funcional]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Substituto eventual do(a) Gestor(a) de Bens Móveis: </w:t>
            </w:r>
            <w:r w:rsidDel="00000000" w:rsidR="00000000" w:rsidRPr="00000000">
              <w:rPr>
                <w:color w:val="00b0f0"/>
                <w:rtl w:val="0"/>
              </w:rPr>
              <w:t xml:space="preserve">[Nome completo e ID Funcional]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Anexo II </w:t>
      </w:r>
    </w:p>
    <w:tbl>
      <w:tblPr>
        <w:tblStyle w:val="Table2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3120"/>
        <w:gridCol w:w="3105"/>
        <w:tblGridChange w:id="0">
          <w:tblGrid>
            <w:gridCol w:w="2265"/>
            <w:gridCol w:w="3120"/>
            <w:gridCol w:w="3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Administrativa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Agente de bens móveis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Substituto(a) eventual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Informar Nome e Sigla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Nome completo e ID Funcional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Nome completo e ID Funcional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color w:val="00b0f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color w:val="00b0f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Encarregado(a) de bens móveis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color w:val="00b0f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Substituto(a) eventual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Informar Nome e Sigla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Nome completo e ID Funcional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color w:val="00b0f0"/>
              </w:rPr>
            </w:pPr>
            <w:r w:rsidDel="00000000" w:rsidR="00000000" w:rsidRPr="00000000">
              <w:rPr>
                <w:color w:val="00b0f0"/>
                <w:rtl w:val="0"/>
              </w:rPr>
              <w:t xml:space="preserve">Nome completo e ID Funcional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B374BF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f6GfpJIeekPtV3IPce3MA5K1A==">CgMxLjAyCGguZ2pkZ3hzOAByITFOTlp5YVhldzNhcDRvNjZSamRValhvZUVEMTFYWUt5NQ==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2022-03-24T16:55:00Z</dcterms:created>
  <dc:creator>Lia Lannes de Camargo</dc:creator>
</cp:coreProperties>
</file>