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6E4F" w14:textId="77777777" w:rsidR="00DB3AB3" w:rsidRDefault="00DB3AB3" w:rsidP="00DB3AB3">
      <w:pPr>
        <w:rPr>
          <w:rStyle w:val="Hyperlink"/>
          <w:rFonts w:ascii="Arial" w:hAnsi="Arial" w:cs="Arial"/>
          <w:b/>
          <w:bCs/>
          <w:color w:val="auto"/>
          <w:u w:val="none"/>
        </w:rPr>
      </w:pPr>
      <w:r w:rsidRPr="002A13F1">
        <w:rPr>
          <w:rStyle w:val="Hyperlink"/>
          <w:rFonts w:ascii="Arial" w:hAnsi="Arial" w:cs="Arial"/>
          <w:b/>
          <w:bCs/>
          <w:color w:val="auto"/>
          <w:u w:val="none"/>
        </w:rPr>
        <w:t>Termo de Vistoria e Baixa de Vida Útil</w:t>
      </w:r>
    </w:p>
    <w:p w14:paraId="712BC9AD" w14:textId="77777777" w:rsidR="00DB3AB3" w:rsidRDefault="00DB3AB3" w:rsidP="00DB3AB3">
      <w:pPr>
        <w:rPr>
          <w:rFonts w:ascii="Arial" w:hAnsi="Arial" w:cs="Arial"/>
        </w:rPr>
      </w:pPr>
    </w:p>
    <w:p w14:paraId="37E4F127" w14:textId="77777777" w:rsidR="00DB3AB3" w:rsidRPr="00721293" w:rsidRDefault="00DB3AB3" w:rsidP="00DB3AB3">
      <w:pPr>
        <w:rPr>
          <w:rFonts w:ascii="Arial" w:hAnsi="Arial" w:cs="Arial"/>
        </w:rPr>
      </w:pPr>
      <w:r>
        <w:rPr>
          <w:rFonts w:ascii="Arial" w:hAnsi="Arial" w:cs="Arial"/>
        </w:rPr>
        <w:t>À</w:t>
      </w:r>
      <w:r w:rsidRPr="00721293">
        <w:rPr>
          <w:rFonts w:ascii="Arial" w:hAnsi="Arial" w:cs="Arial"/>
        </w:rPr>
        <w:t xml:space="preserve"> </w:t>
      </w:r>
      <w:r>
        <w:rPr>
          <w:rFonts w:ascii="Arial" w:hAnsi="Arial" w:cs="Arial"/>
        </w:rPr>
        <w:t>[Autoridade a quem se destina o documento]</w:t>
      </w:r>
    </w:p>
    <w:p w14:paraId="65043005" w14:textId="77777777" w:rsidR="00DB3AB3" w:rsidRDefault="00DB3AB3" w:rsidP="00DB3AB3">
      <w:pPr>
        <w:jc w:val="both"/>
        <w:rPr>
          <w:rFonts w:ascii="Arial" w:hAnsi="Arial" w:cs="Arial"/>
        </w:rPr>
      </w:pPr>
      <w:r>
        <w:rPr>
          <w:rFonts w:ascii="Arial" w:hAnsi="Arial" w:cs="Arial"/>
        </w:rPr>
        <w:tab/>
        <w:t>Em atendimento ao artigo 76, inciso III, do Decreto Estadual nº 46.223, de 24 de janeiro de 2018, que regulamenta a Gestão dos Bens Móveis no âmbito do Poder Executivo do Estado do Rio de Janeiro, a</w:t>
      </w:r>
      <w:r w:rsidRPr="00721293">
        <w:rPr>
          <w:rFonts w:ascii="Arial" w:hAnsi="Arial" w:cs="Arial"/>
        </w:rPr>
        <w:t xml:space="preserve"> Comissão abaixo-assinada, designada pela </w:t>
      </w:r>
      <w:r>
        <w:rPr>
          <w:rFonts w:ascii="Arial" w:hAnsi="Arial" w:cs="Arial"/>
        </w:rPr>
        <w:t>[Inserir número e data do ato de nomeação], apresenta o Termo de Vistoria e Baixa de Vida Útil dos Bens Móveis Inservíveis do [Inserir nome do órgão/entidade], do qual consta o relatório da vistoria realizada nos bens listados pelo Gestor de Bens Móveis no documento nº [Inserir Indexador SEI].</w:t>
      </w:r>
    </w:p>
    <w:p w14:paraId="6CB31B43" w14:textId="77777777" w:rsidR="00DB3AB3" w:rsidRDefault="00DB3AB3" w:rsidP="00DB3AB3">
      <w:pPr>
        <w:rPr>
          <w:rFonts w:ascii="Arial" w:hAnsi="Arial" w:cs="Arial"/>
        </w:rPr>
      </w:pPr>
      <w:r>
        <w:rPr>
          <w:rFonts w:ascii="Arial" w:hAnsi="Arial" w:cs="Arial"/>
        </w:rPr>
        <w:t xml:space="preserve"> </w:t>
      </w:r>
    </w:p>
    <w:p w14:paraId="2E29C550" w14:textId="77777777" w:rsidR="00DB3AB3" w:rsidRPr="00721293" w:rsidRDefault="00DB3AB3" w:rsidP="00DB3AB3">
      <w:pPr>
        <w:jc w:val="center"/>
        <w:rPr>
          <w:rFonts w:ascii="Arial" w:hAnsi="Arial" w:cs="Arial"/>
        </w:rPr>
      </w:pPr>
      <w:r w:rsidRPr="00721293">
        <w:rPr>
          <w:rFonts w:ascii="Arial" w:hAnsi="Arial" w:cs="Arial"/>
        </w:rPr>
        <w:t>RELATÓRIO</w:t>
      </w:r>
    </w:p>
    <w:p w14:paraId="13835E2A" w14:textId="77777777" w:rsidR="00DB3AB3" w:rsidRDefault="00DB3AB3" w:rsidP="00DB3AB3">
      <w:pPr>
        <w:jc w:val="both"/>
        <w:rPr>
          <w:rFonts w:ascii="Arial" w:hAnsi="Arial" w:cs="Arial"/>
        </w:rPr>
      </w:pPr>
      <w:r w:rsidRPr="00721293">
        <w:rPr>
          <w:rFonts w:ascii="Arial" w:hAnsi="Arial" w:cs="Arial"/>
        </w:rPr>
        <w:t xml:space="preserve">A Comissão </w:t>
      </w:r>
      <w:r>
        <w:rPr>
          <w:rFonts w:ascii="Arial" w:hAnsi="Arial" w:cs="Arial"/>
        </w:rPr>
        <w:t>supramencionada</w:t>
      </w:r>
      <w:r w:rsidRPr="00721293">
        <w:rPr>
          <w:rFonts w:ascii="Arial" w:hAnsi="Arial" w:cs="Arial"/>
        </w:rPr>
        <w:t xml:space="preserve"> compareceu </w:t>
      </w:r>
      <w:r>
        <w:rPr>
          <w:rFonts w:ascii="Arial" w:hAnsi="Arial" w:cs="Arial"/>
        </w:rPr>
        <w:t>ao</w:t>
      </w:r>
      <w:r w:rsidRPr="00721293">
        <w:rPr>
          <w:rFonts w:ascii="Arial" w:hAnsi="Arial" w:cs="Arial"/>
        </w:rPr>
        <w:t xml:space="preserve"> </w:t>
      </w:r>
      <w:r>
        <w:rPr>
          <w:rFonts w:ascii="Arial" w:hAnsi="Arial" w:cs="Arial"/>
        </w:rPr>
        <w:t xml:space="preserve">[Inserir o local onde os bens foram </w:t>
      </w:r>
      <w:r w:rsidRPr="00D46492">
        <w:rPr>
          <w:rFonts w:ascii="Arial" w:hAnsi="Arial" w:cs="Arial"/>
        </w:rPr>
        <w:t xml:space="preserve">vistoriados], situado na [Inserir endereço] para verificação dos bens que estavam nesta </w:t>
      </w:r>
      <w:r>
        <w:rPr>
          <w:rFonts w:ascii="Arial" w:hAnsi="Arial" w:cs="Arial"/>
        </w:rPr>
        <w:t>[S</w:t>
      </w:r>
      <w:r w:rsidRPr="00721293">
        <w:rPr>
          <w:rFonts w:ascii="Arial" w:hAnsi="Arial" w:cs="Arial"/>
        </w:rPr>
        <w:t>ubunidade</w:t>
      </w:r>
      <w:r>
        <w:rPr>
          <w:rFonts w:ascii="Arial" w:hAnsi="Arial" w:cs="Arial"/>
        </w:rPr>
        <w:t>/Unidade Administrativa/localidade]</w:t>
      </w:r>
      <w:r w:rsidRPr="00721293">
        <w:rPr>
          <w:rFonts w:ascii="Arial" w:hAnsi="Arial" w:cs="Arial"/>
        </w:rPr>
        <w:t xml:space="preserve">. </w:t>
      </w:r>
      <w:r>
        <w:rPr>
          <w:rFonts w:ascii="Arial" w:hAnsi="Arial" w:cs="Arial"/>
        </w:rPr>
        <w:t>Os</w:t>
      </w:r>
      <w:r w:rsidRPr="00721293">
        <w:rPr>
          <w:rFonts w:ascii="Arial" w:hAnsi="Arial" w:cs="Arial"/>
        </w:rPr>
        <w:t xml:space="preserve"> bens patrimoniais móveis, abaixo listados, lá depositados</w:t>
      </w:r>
      <w:r>
        <w:rPr>
          <w:rFonts w:ascii="Arial" w:hAnsi="Arial" w:cs="Arial"/>
        </w:rPr>
        <w:t>, foram classificados quanto ao estado de conservação, conforme disposto no art. 53 do Decreto Estadual nº 46.223/2018</w:t>
      </w:r>
      <w:r w:rsidRPr="00721293">
        <w:rPr>
          <w:rFonts w:ascii="Arial" w:hAnsi="Arial" w:cs="Arial"/>
        </w:rPr>
        <w:t xml:space="preserve">, </w:t>
      </w:r>
      <w:r>
        <w:rPr>
          <w:rFonts w:ascii="Arial" w:hAnsi="Arial" w:cs="Arial"/>
        </w:rPr>
        <w:t>e, ainda, quanto à utilização, de acordo com a classificação prevista no art. 60 do referido normativo, ambos transcritos a seguir:</w:t>
      </w:r>
    </w:p>
    <w:p w14:paraId="31C02B67" w14:textId="77777777" w:rsidR="00DB3AB3" w:rsidRDefault="00DB3AB3" w:rsidP="00DB3AB3">
      <w:pPr>
        <w:pStyle w:val="Default"/>
      </w:pPr>
    </w:p>
    <w:p w14:paraId="344DE676"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Art. 53 </w:t>
      </w:r>
      <w:r w:rsidRPr="00CC4B6E">
        <w:rPr>
          <w:rFonts w:ascii="Arial" w:hAnsi="Arial" w:cs="Arial"/>
          <w:i/>
          <w:iCs/>
          <w:color w:val="auto"/>
          <w:sz w:val="20"/>
          <w:szCs w:val="20"/>
        </w:rPr>
        <w:t>- O estado de conservação dos bens móveis deverá observar a seguinte  classificação:</w:t>
      </w:r>
    </w:p>
    <w:p w14:paraId="2B8F00C1"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 </w:t>
      </w:r>
      <w:r w:rsidRPr="00CC4B6E">
        <w:rPr>
          <w:rFonts w:ascii="Arial" w:hAnsi="Arial" w:cs="Arial"/>
          <w:i/>
          <w:iCs/>
          <w:color w:val="auto"/>
          <w:sz w:val="20"/>
          <w:szCs w:val="20"/>
        </w:rPr>
        <w:t>- excelente - qualidade do bem móvel adquirido há menos de um ano e que ainda mantenha as mesmas características e condições de uso de sua aquisição;</w:t>
      </w:r>
    </w:p>
    <w:p w14:paraId="281CB552"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II </w:t>
      </w:r>
      <w:r w:rsidRPr="00CC4B6E">
        <w:rPr>
          <w:rFonts w:ascii="Arial" w:hAnsi="Arial" w:cs="Arial"/>
          <w:i/>
          <w:iCs/>
          <w:color w:val="auto"/>
          <w:sz w:val="20"/>
          <w:szCs w:val="20"/>
        </w:rPr>
        <w:t>- bom - qualidade do bem móvel que esteja em perfeitas condições de uso, mas com data de aquisição superior a um ano;</w:t>
      </w:r>
    </w:p>
    <w:p w14:paraId="7064D005"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III </w:t>
      </w:r>
      <w:r w:rsidRPr="00CC4B6E">
        <w:rPr>
          <w:rFonts w:ascii="Arial" w:hAnsi="Arial" w:cs="Arial"/>
          <w:i/>
          <w:iCs/>
          <w:color w:val="auto"/>
          <w:sz w:val="20"/>
          <w:szCs w:val="20"/>
        </w:rPr>
        <w:t>- regular - qualidade do bem móvel que esteja em condições de uso, mas que apresenta avarias que não impedem sua utilização;</w:t>
      </w:r>
    </w:p>
    <w:p w14:paraId="668D49B9" w14:textId="77777777" w:rsidR="00DB3AB3" w:rsidRDefault="00DB3AB3" w:rsidP="00DB3AB3">
      <w:pPr>
        <w:spacing w:after="0"/>
        <w:ind w:left="1985"/>
        <w:jc w:val="both"/>
        <w:rPr>
          <w:rFonts w:ascii="Arial" w:hAnsi="Arial" w:cs="Arial"/>
          <w:i/>
          <w:iCs/>
          <w:sz w:val="20"/>
          <w:szCs w:val="20"/>
        </w:rPr>
      </w:pPr>
      <w:r w:rsidRPr="00CC4B6E">
        <w:rPr>
          <w:rFonts w:ascii="Arial" w:hAnsi="Arial" w:cs="Arial"/>
          <w:b/>
          <w:bCs/>
          <w:i/>
          <w:iCs/>
          <w:sz w:val="20"/>
          <w:szCs w:val="20"/>
        </w:rPr>
        <w:t xml:space="preserve">IV </w:t>
      </w:r>
      <w:r w:rsidRPr="00CC4B6E">
        <w:rPr>
          <w:rFonts w:ascii="Arial" w:hAnsi="Arial" w:cs="Arial"/>
          <w:i/>
          <w:iCs/>
          <w:sz w:val="20"/>
          <w:szCs w:val="20"/>
        </w:rPr>
        <w:t>- péssimo - qualidade do bem móvel que apresenta avarias que comprometem sua utilização, embora seja viável sua reforma.</w:t>
      </w:r>
    </w:p>
    <w:p w14:paraId="55522C6D" w14:textId="77777777" w:rsidR="00DB3AB3" w:rsidRPr="00CC4B6E" w:rsidRDefault="00DB3AB3" w:rsidP="00DB3AB3">
      <w:pPr>
        <w:spacing w:after="0"/>
        <w:ind w:left="1985"/>
        <w:jc w:val="both"/>
        <w:rPr>
          <w:rFonts w:ascii="Arial" w:hAnsi="Arial" w:cs="Arial"/>
          <w:sz w:val="20"/>
          <w:szCs w:val="20"/>
        </w:rPr>
      </w:pPr>
      <w:r>
        <w:rPr>
          <w:rFonts w:ascii="Arial" w:hAnsi="Arial" w:cs="Arial"/>
          <w:sz w:val="20"/>
          <w:szCs w:val="20"/>
        </w:rPr>
        <w:t>(...)</w:t>
      </w:r>
    </w:p>
    <w:p w14:paraId="4C7F32DB"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Art. 60 </w:t>
      </w:r>
      <w:r w:rsidRPr="00CC4B6E">
        <w:rPr>
          <w:rFonts w:ascii="Arial" w:hAnsi="Arial" w:cs="Arial"/>
          <w:i/>
          <w:iCs/>
          <w:color w:val="auto"/>
          <w:sz w:val="20"/>
          <w:szCs w:val="20"/>
        </w:rPr>
        <w:t>- Considera-se inservível o bem móvel que não possa mais ser utilizado para o fim a que se destina e são classificados em:</w:t>
      </w:r>
    </w:p>
    <w:p w14:paraId="46CECC8E"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 </w:t>
      </w:r>
      <w:r w:rsidRPr="00CC4B6E">
        <w:rPr>
          <w:rFonts w:ascii="Arial" w:hAnsi="Arial" w:cs="Arial"/>
          <w:i/>
          <w:iCs/>
          <w:color w:val="auto"/>
          <w:sz w:val="20"/>
          <w:szCs w:val="20"/>
        </w:rPr>
        <w:t>- desuso/ocioso - aqueles que, embora em perfeitas condições de uso, não estiverem sendo aproveitados;</w:t>
      </w:r>
    </w:p>
    <w:p w14:paraId="068A4AFE"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II </w:t>
      </w:r>
      <w:r w:rsidRPr="00CC4B6E">
        <w:rPr>
          <w:rFonts w:ascii="Arial" w:hAnsi="Arial" w:cs="Arial"/>
          <w:i/>
          <w:iCs/>
          <w:color w:val="auto"/>
          <w:sz w:val="20"/>
          <w:szCs w:val="20"/>
        </w:rPr>
        <w:t>- irrecuperáveis - aqueles que não mais puderem ser utilizados pelo órgão/entidade da administração pública para o fim a que se destinam devido à perda de suas características ou em razão da inviabilidade econômica de sua recuperação, entendida esta quando o custo de recuperação for superior a 50% (cinquenta por cento) de seu valor de mercado;</w:t>
      </w:r>
    </w:p>
    <w:p w14:paraId="026B98DE"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 xml:space="preserve">III </w:t>
      </w:r>
      <w:r w:rsidRPr="00CC4B6E">
        <w:rPr>
          <w:rFonts w:ascii="Arial" w:hAnsi="Arial" w:cs="Arial"/>
          <w:i/>
          <w:iCs/>
          <w:color w:val="auto"/>
          <w:sz w:val="20"/>
          <w:szCs w:val="20"/>
        </w:rPr>
        <w:t>- antieconômicos - aqueles cuja manutenção for demasiadamente onerosa ou esteja com seu rendimento precário em função de uso prolongado ou desgaste prematuro;</w:t>
      </w:r>
    </w:p>
    <w:p w14:paraId="74D41EAA"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IV</w:t>
      </w:r>
      <w:r w:rsidRPr="00CC4B6E">
        <w:rPr>
          <w:rFonts w:ascii="Arial" w:hAnsi="Arial" w:cs="Arial"/>
          <w:i/>
          <w:iCs/>
          <w:color w:val="auto"/>
          <w:sz w:val="20"/>
          <w:szCs w:val="20"/>
        </w:rPr>
        <w:t xml:space="preserve"> - obsoletos - aqueles que, embora em condições de uso, não satisfaçam mais às exigências técnicas do órgão/entidade a que pertencem;</w:t>
      </w:r>
    </w:p>
    <w:p w14:paraId="08A94B70" w14:textId="77777777" w:rsidR="00DB3AB3" w:rsidRPr="00CC4B6E" w:rsidRDefault="00DB3AB3" w:rsidP="00DB3AB3">
      <w:pPr>
        <w:pStyle w:val="Default"/>
        <w:ind w:left="1985"/>
        <w:jc w:val="both"/>
        <w:rPr>
          <w:rFonts w:ascii="Arial" w:hAnsi="Arial" w:cs="Arial"/>
          <w:i/>
          <w:iCs/>
          <w:color w:val="auto"/>
          <w:sz w:val="20"/>
          <w:szCs w:val="20"/>
        </w:rPr>
      </w:pPr>
      <w:r w:rsidRPr="00CC4B6E">
        <w:rPr>
          <w:rFonts w:ascii="Arial" w:hAnsi="Arial" w:cs="Arial"/>
          <w:b/>
          <w:bCs/>
          <w:i/>
          <w:iCs/>
          <w:color w:val="auto"/>
          <w:sz w:val="20"/>
          <w:szCs w:val="20"/>
        </w:rPr>
        <w:t>V</w:t>
      </w:r>
      <w:r w:rsidRPr="00CC4B6E">
        <w:rPr>
          <w:rFonts w:ascii="Arial" w:hAnsi="Arial" w:cs="Arial"/>
          <w:i/>
          <w:iCs/>
          <w:color w:val="auto"/>
          <w:sz w:val="20"/>
          <w:szCs w:val="20"/>
        </w:rPr>
        <w:t xml:space="preserve"> - recuperáveis - aqueles cujo orçamento de recuperação seja equivalente a, no máximo, 50% (cinquenta por cento) de seu valor de mercado;</w:t>
      </w:r>
    </w:p>
    <w:p w14:paraId="43D39B59" w14:textId="77777777" w:rsidR="00DB3AB3" w:rsidRDefault="00DB3AB3" w:rsidP="00DB3AB3">
      <w:pPr>
        <w:jc w:val="both"/>
        <w:rPr>
          <w:rFonts w:ascii="Arial" w:hAnsi="Arial" w:cs="Arial"/>
        </w:rPr>
      </w:pPr>
    </w:p>
    <w:p w14:paraId="029CF9DF" w14:textId="01736AC4" w:rsidR="00DB3AB3" w:rsidRDefault="00DB3AB3" w:rsidP="00DB3AB3">
      <w:pPr>
        <w:jc w:val="both"/>
        <w:rPr>
          <w:rFonts w:ascii="Arial" w:hAnsi="Arial" w:cs="Arial"/>
        </w:rPr>
      </w:pPr>
      <w:r w:rsidRPr="003165F1">
        <w:rPr>
          <w:rFonts w:ascii="Arial" w:hAnsi="Arial" w:cs="Arial"/>
        </w:rPr>
        <w:lastRenderedPageBreak/>
        <w:t xml:space="preserve">Da escolha da modalidade de desfazimento: </w:t>
      </w:r>
    </w:p>
    <w:p w14:paraId="5B2A980F" w14:textId="77777777" w:rsidR="00DB3AB3" w:rsidRPr="001E098E" w:rsidRDefault="00DB3AB3" w:rsidP="00DB3AB3">
      <w:pPr>
        <w:jc w:val="both"/>
        <w:rPr>
          <w:rFonts w:ascii="Arial" w:hAnsi="Arial" w:cs="Arial"/>
          <w:color w:val="00B0F0"/>
        </w:rPr>
      </w:pPr>
      <w:r>
        <w:rPr>
          <w:rFonts w:ascii="Arial" w:hAnsi="Arial" w:cs="Arial"/>
          <w:color w:val="00B0F0"/>
        </w:rPr>
        <w:t>[Os três parágrafos a seguir trazem a previsão de justificativa da escolha das modalidades previstas no decreto nº 46.223/2018. Dessa forma, devem ser mantidos apenas aqueles que correspondam às opções escolhidas pelos membros da Comissão de Vistoria.]</w:t>
      </w:r>
    </w:p>
    <w:p w14:paraId="0C184C33" w14:textId="77777777" w:rsidR="00DB3AB3" w:rsidRDefault="00DB3AB3" w:rsidP="00DB3AB3">
      <w:pPr>
        <w:ind w:firstLine="708"/>
        <w:jc w:val="both"/>
        <w:rPr>
          <w:rFonts w:ascii="Arial" w:hAnsi="Arial" w:cs="Arial"/>
        </w:rPr>
      </w:pPr>
      <w:r w:rsidRPr="003165F1">
        <w:rPr>
          <w:rFonts w:ascii="Arial" w:hAnsi="Arial" w:cs="Arial"/>
        </w:rPr>
        <w:t>A opção da doação como forma de desfazimento dos bens considerados como em desuso, antieconômicos</w:t>
      </w:r>
      <w:r>
        <w:rPr>
          <w:rFonts w:ascii="Arial" w:hAnsi="Arial" w:cs="Arial"/>
        </w:rPr>
        <w:t>, recuperáveis</w:t>
      </w:r>
      <w:r w:rsidRPr="003165F1">
        <w:rPr>
          <w:rFonts w:ascii="Arial" w:hAnsi="Arial" w:cs="Arial"/>
        </w:rPr>
        <w:t xml:space="preserve"> ou obsoletos reside no caráter socioeconômico inerente aos bens públicos, pois estes podem ser aproveitados por outros órgãos públicos ou, no caso de não haver interessado, ao </w:t>
      </w:r>
      <w:r>
        <w:rPr>
          <w:rFonts w:ascii="Arial" w:hAnsi="Arial" w:cs="Arial"/>
        </w:rPr>
        <w:t xml:space="preserve">[nome da </w:t>
      </w:r>
      <w:r w:rsidRPr="00416692">
        <w:rPr>
          <w:rFonts w:ascii="Arial" w:hAnsi="Arial" w:cs="Arial"/>
        </w:rPr>
        <w:t xml:space="preserve">pessoa física ou jurídica de direito privado, </w:t>
      </w:r>
      <w:r>
        <w:rPr>
          <w:rFonts w:ascii="Arial" w:hAnsi="Arial" w:cs="Arial"/>
        </w:rPr>
        <w:t>de</w:t>
      </w:r>
      <w:r w:rsidRPr="00416692">
        <w:rPr>
          <w:rFonts w:ascii="Arial" w:hAnsi="Arial" w:cs="Arial"/>
        </w:rPr>
        <w:t xml:space="preserve"> interesse social</w:t>
      </w:r>
      <w:r>
        <w:rPr>
          <w:rFonts w:ascii="Arial" w:hAnsi="Arial" w:cs="Arial"/>
        </w:rPr>
        <w:t>]</w:t>
      </w:r>
      <w:r w:rsidRPr="003165F1">
        <w:rPr>
          <w:rFonts w:ascii="Arial" w:hAnsi="Arial" w:cs="Arial"/>
        </w:rPr>
        <w:t xml:space="preserve">, que por conta da sua finalidade social, continuarão, os bens, exercendo a finalidade pública, justificando a doação destes para esta entidade. </w:t>
      </w:r>
    </w:p>
    <w:p w14:paraId="1B2FF55B" w14:textId="77777777" w:rsidR="00DB3AB3" w:rsidRDefault="00DB3AB3" w:rsidP="00DB3AB3">
      <w:pPr>
        <w:ind w:firstLine="708"/>
        <w:jc w:val="both"/>
        <w:rPr>
          <w:rFonts w:ascii="Arial" w:hAnsi="Arial" w:cs="Arial"/>
        </w:rPr>
      </w:pPr>
      <w:r>
        <w:rPr>
          <w:rFonts w:ascii="Arial" w:hAnsi="Arial" w:cs="Arial"/>
        </w:rPr>
        <w:t xml:space="preserve">Caso não haja manifestação de interesse por outros entes da Administração Pública após transcorrido 30 (trinta) dias da publicação da lista de disponibilidade, nem por parte de nenhuma entidade de interesse social, os bens inservíveis </w:t>
      </w:r>
      <w:r w:rsidRPr="003165F1">
        <w:rPr>
          <w:rFonts w:ascii="Arial" w:hAnsi="Arial" w:cs="Arial"/>
        </w:rPr>
        <w:t>considerados como em desuso, antieconômicos</w:t>
      </w:r>
      <w:r>
        <w:rPr>
          <w:rFonts w:ascii="Arial" w:hAnsi="Arial" w:cs="Arial"/>
        </w:rPr>
        <w:t>, recuperáveis</w:t>
      </w:r>
      <w:r w:rsidRPr="003165F1">
        <w:rPr>
          <w:rFonts w:ascii="Arial" w:hAnsi="Arial" w:cs="Arial"/>
        </w:rPr>
        <w:t xml:space="preserve"> ou obsoletos</w:t>
      </w:r>
      <w:r>
        <w:rPr>
          <w:rFonts w:ascii="Arial" w:hAnsi="Arial" w:cs="Arial"/>
        </w:rPr>
        <w:t xml:space="preserve"> poderão ser destinados à venda, através da modalidade leilão, nos termos do </w:t>
      </w:r>
      <w:r w:rsidRPr="00CA4A81">
        <w:rPr>
          <w:rFonts w:ascii="Arial" w:hAnsi="Arial" w:cs="Arial"/>
        </w:rPr>
        <w:t>art. 22 §5º da Lei nº</w:t>
      </w:r>
      <w:r>
        <w:rPr>
          <w:rFonts w:ascii="Arial" w:hAnsi="Arial" w:cs="Arial"/>
        </w:rPr>
        <w:t xml:space="preserve"> </w:t>
      </w:r>
      <w:r w:rsidRPr="00CA4A81">
        <w:rPr>
          <w:rFonts w:ascii="Arial" w:hAnsi="Arial" w:cs="Arial"/>
        </w:rPr>
        <w:t>8.666/1993</w:t>
      </w:r>
      <w:r>
        <w:rPr>
          <w:rFonts w:ascii="Arial" w:hAnsi="Arial" w:cs="Arial"/>
        </w:rPr>
        <w:t>.</w:t>
      </w:r>
    </w:p>
    <w:p w14:paraId="19E459B6" w14:textId="77777777" w:rsidR="00DB3AB3" w:rsidRDefault="00DB3AB3" w:rsidP="00DB3AB3">
      <w:pPr>
        <w:ind w:firstLine="708"/>
        <w:jc w:val="both"/>
        <w:rPr>
          <w:rFonts w:ascii="Arial" w:hAnsi="Arial" w:cs="Arial"/>
        </w:rPr>
      </w:pPr>
      <w:r w:rsidRPr="003165F1">
        <w:rPr>
          <w:rFonts w:ascii="Arial" w:hAnsi="Arial" w:cs="Arial"/>
        </w:rPr>
        <w:t>Quanto aos bens inservíveis</w:t>
      </w:r>
      <w:r>
        <w:rPr>
          <w:rFonts w:ascii="Arial" w:hAnsi="Arial" w:cs="Arial"/>
        </w:rPr>
        <w:t xml:space="preserve"> irrecuperáveis</w:t>
      </w:r>
      <w:r w:rsidRPr="003165F1">
        <w:rPr>
          <w:rFonts w:ascii="Arial" w:hAnsi="Arial" w:cs="Arial"/>
        </w:rPr>
        <w:t xml:space="preserve">, aliená-los não se apresenta como uma possibilidade viável devido ao baixo valor destes, restando o descarte como alternativa à alienação. </w:t>
      </w:r>
    </w:p>
    <w:p w14:paraId="685250B0" w14:textId="77777777" w:rsidR="00DB3AB3" w:rsidRDefault="00DB3AB3" w:rsidP="00DB3AB3">
      <w:pPr>
        <w:ind w:firstLine="708"/>
        <w:jc w:val="both"/>
        <w:rPr>
          <w:rFonts w:ascii="Arial" w:hAnsi="Arial" w:cs="Arial"/>
        </w:rPr>
      </w:pPr>
      <w:r>
        <w:rPr>
          <w:rFonts w:ascii="Arial" w:hAnsi="Arial" w:cs="Arial"/>
        </w:rPr>
        <w:t>Baseado n</w:t>
      </w:r>
      <w:r w:rsidRPr="00BB0039">
        <w:rPr>
          <w:rFonts w:ascii="Arial" w:hAnsi="Arial" w:cs="Arial"/>
        </w:rPr>
        <w:t xml:space="preserve">o exposto, essa comissão sugere que os itens elencados, em anexo, sejam objeto de </w:t>
      </w:r>
      <w:r>
        <w:rPr>
          <w:rFonts w:ascii="Arial" w:hAnsi="Arial" w:cs="Arial"/>
        </w:rPr>
        <w:t>_________________ [</w:t>
      </w:r>
      <w:r w:rsidRPr="00BB0039">
        <w:rPr>
          <w:rFonts w:ascii="Arial" w:hAnsi="Arial" w:cs="Arial"/>
        </w:rPr>
        <w:t>Doação</w:t>
      </w:r>
      <w:r>
        <w:rPr>
          <w:rFonts w:ascii="Arial" w:hAnsi="Arial" w:cs="Arial"/>
        </w:rPr>
        <w:t xml:space="preserve"> / Venda / </w:t>
      </w:r>
      <w:r w:rsidRPr="00BB0039">
        <w:rPr>
          <w:rFonts w:ascii="Arial" w:hAnsi="Arial" w:cs="Arial"/>
        </w:rPr>
        <w:t>Descarte</w:t>
      </w:r>
      <w:r>
        <w:rPr>
          <w:rFonts w:ascii="Arial" w:hAnsi="Arial" w:cs="Arial"/>
        </w:rPr>
        <w:t>]</w:t>
      </w:r>
      <w:r w:rsidRPr="00BB0039">
        <w:rPr>
          <w:rFonts w:ascii="Arial" w:hAnsi="Arial" w:cs="Arial"/>
        </w:rPr>
        <w:t>.</w:t>
      </w:r>
    </w:p>
    <w:p w14:paraId="38EE6B45" w14:textId="77777777" w:rsidR="00DB3AB3" w:rsidRDefault="00DB3AB3" w:rsidP="00DB3AB3">
      <w:pPr>
        <w:ind w:firstLine="708"/>
        <w:jc w:val="both"/>
        <w:rPr>
          <w:rFonts w:ascii="Arial" w:hAnsi="Arial" w:cs="Arial"/>
        </w:rPr>
      </w:pPr>
      <w:r w:rsidRPr="00721293">
        <w:rPr>
          <w:rFonts w:ascii="Arial" w:hAnsi="Arial" w:cs="Arial"/>
        </w:rPr>
        <w:t xml:space="preserve">Sugerimos que o presente processo seja encaminhado para apreciação da </w:t>
      </w:r>
      <w:r>
        <w:rPr>
          <w:rFonts w:ascii="Arial" w:hAnsi="Arial" w:cs="Arial"/>
        </w:rPr>
        <w:t>[Inserir nome do órgão responsável pela análise j</w:t>
      </w:r>
      <w:r w:rsidRPr="00721293">
        <w:rPr>
          <w:rFonts w:ascii="Arial" w:hAnsi="Arial" w:cs="Arial"/>
        </w:rPr>
        <w:t>urídica</w:t>
      </w:r>
      <w:r>
        <w:rPr>
          <w:rFonts w:ascii="Arial" w:hAnsi="Arial" w:cs="Arial"/>
        </w:rPr>
        <w:t>]</w:t>
      </w:r>
      <w:r w:rsidRPr="00721293">
        <w:rPr>
          <w:rFonts w:ascii="Arial" w:hAnsi="Arial" w:cs="Arial"/>
        </w:rPr>
        <w:t xml:space="preserve"> para </w:t>
      </w:r>
      <w:r>
        <w:rPr>
          <w:rFonts w:ascii="Arial" w:hAnsi="Arial" w:cs="Arial"/>
        </w:rPr>
        <w:t>análise da legalidade do processo de desfazimento</w:t>
      </w:r>
      <w:r w:rsidRPr="00721293">
        <w:rPr>
          <w:rFonts w:ascii="Arial" w:hAnsi="Arial" w:cs="Arial"/>
        </w:rPr>
        <w:t xml:space="preserve"> dos referidos bens, tendo como base legal o</w:t>
      </w:r>
      <w:r>
        <w:rPr>
          <w:rFonts w:ascii="Arial" w:hAnsi="Arial" w:cs="Arial"/>
        </w:rPr>
        <w:t>s instrumentos legais que regem a gestão de bens móveis no Estado do Rio de Janeiro.</w:t>
      </w:r>
    </w:p>
    <w:p w14:paraId="2D960F28" w14:textId="77777777" w:rsidR="00DB3AB3" w:rsidRDefault="00DB3AB3" w:rsidP="00DB3AB3">
      <w:pPr>
        <w:jc w:val="both"/>
        <w:rPr>
          <w:rFonts w:ascii="Arial" w:hAnsi="Arial" w:cs="Arial"/>
        </w:rPr>
      </w:pPr>
      <w:r>
        <w:rPr>
          <w:rFonts w:ascii="Arial" w:hAnsi="Arial" w:cs="Arial"/>
        </w:rPr>
        <w:t>Listagem dos Inservíveis</w:t>
      </w:r>
      <w:r w:rsidRPr="003165F1">
        <w:rPr>
          <w:rFonts w:ascii="Arial" w:hAnsi="Arial" w:cs="Arial"/>
        </w:rPr>
        <w:t>:</w:t>
      </w:r>
    </w:p>
    <w:tbl>
      <w:tblPr>
        <w:tblStyle w:val="Tabelacomgrade"/>
        <w:tblW w:w="8642" w:type="dxa"/>
        <w:jc w:val="center"/>
        <w:tblLook w:val="04A0" w:firstRow="1" w:lastRow="0" w:firstColumn="1" w:lastColumn="0" w:noHBand="0" w:noVBand="1"/>
      </w:tblPr>
      <w:tblGrid>
        <w:gridCol w:w="837"/>
        <w:gridCol w:w="959"/>
        <w:gridCol w:w="968"/>
        <w:gridCol w:w="1109"/>
        <w:gridCol w:w="1175"/>
        <w:gridCol w:w="624"/>
        <w:gridCol w:w="1166"/>
        <w:gridCol w:w="772"/>
        <w:gridCol w:w="1032"/>
      </w:tblGrid>
      <w:tr w:rsidR="00DB3AB3" w:rsidRPr="00B71333" w14:paraId="7CF481DE" w14:textId="77777777" w:rsidTr="00EF4202">
        <w:trPr>
          <w:trHeight w:val="411"/>
          <w:jc w:val="center"/>
        </w:trPr>
        <w:tc>
          <w:tcPr>
            <w:tcW w:w="837" w:type="dxa"/>
            <w:vAlign w:val="center"/>
          </w:tcPr>
          <w:p w14:paraId="70D04A3E" w14:textId="77777777" w:rsidR="00DB3AB3" w:rsidRPr="00B71333" w:rsidRDefault="00DB3AB3" w:rsidP="00EF4202">
            <w:pPr>
              <w:pStyle w:val="Default"/>
              <w:jc w:val="center"/>
              <w:rPr>
                <w:color w:val="auto"/>
                <w:sz w:val="16"/>
                <w:szCs w:val="16"/>
              </w:rPr>
            </w:pPr>
            <w:r w:rsidRPr="003165F1">
              <w:rPr>
                <w:rFonts w:ascii="Arial" w:hAnsi="Arial" w:cs="Arial"/>
              </w:rPr>
              <w:t xml:space="preserve"> </w:t>
            </w:r>
            <w:r w:rsidRPr="00B71333">
              <w:rPr>
                <w:rFonts w:ascii="Arial" w:hAnsi="Arial" w:cs="Arial"/>
                <w:sz w:val="16"/>
                <w:szCs w:val="16"/>
              </w:rPr>
              <w:t>Código Contábil</w:t>
            </w:r>
          </w:p>
        </w:tc>
        <w:tc>
          <w:tcPr>
            <w:tcW w:w="959" w:type="dxa"/>
            <w:vAlign w:val="center"/>
          </w:tcPr>
          <w:p w14:paraId="01BD2F21"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Inventário</w:t>
            </w:r>
          </w:p>
          <w:p w14:paraId="51C5A92E" w14:textId="77777777" w:rsidR="00DB3AB3" w:rsidRPr="00B71333" w:rsidRDefault="00DB3AB3" w:rsidP="00EF4202">
            <w:pPr>
              <w:pStyle w:val="Default"/>
              <w:jc w:val="center"/>
              <w:rPr>
                <w:color w:val="auto"/>
                <w:sz w:val="16"/>
                <w:szCs w:val="16"/>
              </w:rPr>
            </w:pPr>
          </w:p>
        </w:tc>
        <w:tc>
          <w:tcPr>
            <w:tcW w:w="968" w:type="dxa"/>
            <w:vAlign w:val="center"/>
          </w:tcPr>
          <w:p w14:paraId="26F8194A"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Descrição do item</w:t>
            </w:r>
          </w:p>
          <w:p w14:paraId="16EEF29E" w14:textId="77777777" w:rsidR="00DB3AB3" w:rsidRPr="00B71333" w:rsidRDefault="00DB3AB3" w:rsidP="00EF4202">
            <w:pPr>
              <w:pStyle w:val="Default"/>
              <w:jc w:val="center"/>
              <w:rPr>
                <w:color w:val="auto"/>
                <w:sz w:val="16"/>
                <w:szCs w:val="16"/>
              </w:rPr>
            </w:pPr>
          </w:p>
        </w:tc>
        <w:tc>
          <w:tcPr>
            <w:tcW w:w="1109" w:type="dxa"/>
            <w:vAlign w:val="center"/>
          </w:tcPr>
          <w:p w14:paraId="67DE5CDB" w14:textId="77777777" w:rsidR="00DB3AB3" w:rsidRPr="00B71333" w:rsidRDefault="00DB3AB3" w:rsidP="00EF4202">
            <w:pPr>
              <w:pStyle w:val="Default"/>
              <w:jc w:val="center"/>
              <w:rPr>
                <w:color w:val="auto"/>
                <w:sz w:val="16"/>
                <w:szCs w:val="16"/>
              </w:rPr>
            </w:pPr>
            <w:r w:rsidRPr="00B71333">
              <w:rPr>
                <w:rFonts w:ascii="Arial" w:hAnsi="Arial" w:cs="Arial"/>
                <w:sz w:val="16"/>
                <w:szCs w:val="16"/>
              </w:rPr>
              <w:t>Localização</w:t>
            </w:r>
          </w:p>
        </w:tc>
        <w:tc>
          <w:tcPr>
            <w:tcW w:w="1175" w:type="dxa"/>
            <w:vAlign w:val="center"/>
          </w:tcPr>
          <w:p w14:paraId="589D2602"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Estado de conservação</w:t>
            </w:r>
          </w:p>
          <w:p w14:paraId="1FC7FC83" w14:textId="77777777" w:rsidR="00DB3AB3" w:rsidRPr="00B71333" w:rsidRDefault="00DB3AB3" w:rsidP="00EF4202">
            <w:pPr>
              <w:pStyle w:val="Default"/>
              <w:jc w:val="center"/>
              <w:rPr>
                <w:color w:val="auto"/>
                <w:sz w:val="16"/>
                <w:szCs w:val="16"/>
              </w:rPr>
            </w:pPr>
          </w:p>
        </w:tc>
        <w:tc>
          <w:tcPr>
            <w:tcW w:w="624" w:type="dxa"/>
            <w:vAlign w:val="center"/>
          </w:tcPr>
          <w:p w14:paraId="562EE2A3"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Valor Bruto</w:t>
            </w:r>
          </w:p>
          <w:p w14:paraId="5FB97821" w14:textId="77777777" w:rsidR="00DB3AB3" w:rsidRPr="00B71333" w:rsidRDefault="00DB3AB3" w:rsidP="00EF4202">
            <w:pPr>
              <w:pStyle w:val="Default"/>
              <w:jc w:val="center"/>
              <w:rPr>
                <w:color w:val="auto"/>
                <w:sz w:val="16"/>
                <w:szCs w:val="16"/>
              </w:rPr>
            </w:pPr>
          </w:p>
        </w:tc>
        <w:tc>
          <w:tcPr>
            <w:tcW w:w="1166" w:type="dxa"/>
            <w:vAlign w:val="center"/>
          </w:tcPr>
          <w:p w14:paraId="69427FEC"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Depreciação Acumulada</w:t>
            </w:r>
          </w:p>
          <w:p w14:paraId="37327D31" w14:textId="77777777" w:rsidR="00DB3AB3" w:rsidRPr="00B71333" w:rsidRDefault="00DB3AB3" w:rsidP="00EF4202">
            <w:pPr>
              <w:pStyle w:val="Default"/>
              <w:jc w:val="center"/>
              <w:rPr>
                <w:color w:val="auto"/>
                <w:sz w:val="16"/>
                <w:szCs w:val="16"/>
              </w:rPr>
            </w:pPr>
          </w:p>
        </w:tc>
        <w:tc>
          <w:tcPr>
            <w:tcW w:w="772" w:type="dxa"/>
            <w:vAlign w:val="center"/>
          </w:tcPr>
          <w:p w14:paraId="26F98F54"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Valor Líquido</w:t>
            </w:r>
          </w:p>
          <w:p w14:paraId="4EFC4AC7" w14:textId="77777777" w:rsidR="00DB3AB3" w:rsidRPr="00B71333" w:rsidRDefault="00DB3AB3" w:rsidP="00EF4202">
            <w:pPr>
              <w:pStyle w:val="Default"/>
              <w:jc w:val="center"/>
              <w:rPr>
                <w:color w:val="auto"/>
                <w:sz w:val="16"/>
                <w:szCs w:val="16"/>
              </w:rPr>
            </w:pPr>
          </w:p>
        </w:tc>
        <w:tc>
          <w:tcPr>
            <w:tcW w:w="1032" w:type="dxa"/>
            <w:vAlign w:val="center"/>
          </w:tcPr>
          <w:p w14:paraId="3FCD9626" w14:textId="77777777" w:rsidR="00DB3AB3" w:rsidRPr="00B71333" w:rsidRDefault="00DB3AB3" w:rsidP="00EF4202">
            <w:pPr>
              <w:jc w:val="center"/>
              <w:rPr>
                <w:rFonts w:ascii="Arial" w:hAnsi="Arial" w:cs="Arial"/>
                <w:sz w:val="16"/>
                <w:szCs w:val="16"/>
              </w:rPr>
            </w:pPr>
            <w:r w:rsidRPr="00B71333">
              <w:rPr>
                <w:rFonts w:ascii="Arial" w:hAnsi="Arial" w:cs="Arial"/>
                <w:sz w:val="16"/>
                <w:szCs w:val="16"/>
              </w:rPr>
              <w:t>Estado de utilização</w:t>
            </w:r>
          </w:p>
          <w:p w14:paraId="4D06122F" w14:textId="77777777" w:rsidR="00DB3AB3" w:rsidRPr="00B71333" w:rsidRDefault="00DB3AB3" w:rsidP="00EF4202">
            <w:pPr>
              <w:pStyle w:val="Default"/>
              <w:jc w:val="center"/>
              <w:rPr>
                <w:color w:val="auto"/>
                <w:sz w:val="16"/>
                <w:szCs w:val="16"/>
              </w:rPr>
            </w:pPr>
          </w:p>
        </w:tc>
      </w:tr>
      <w:tr w:rsidR="00DB3AB3" w:rsidRPr="00B71333" w14:paraId="193BA30A" w14:textId="77777777" w:rsidTr="00EF4202">
        <w:trPr>
          <w:jc w:val="center"/>
        </w:trPr>
        <w:tc>
          <w:tcPr>
            <w:tcW w:w="837" w:type="dxa"/>
            <w:vAlign w:val="center"/>
          </w:tcPr>
          <w:p w14:paraId="4B2717F6" w14:textId="77777777" w:rsidR="00DB3AB3" w:rsidRPr="00B71333" w:rsidRDefault="00DB3AB3" w:rsidP="00EF4202">
            <w:pPr>
              <w:pStyle w:val="Default"/>
              <w:rPr>
                <w:color w:val="auto"/>
                <w:sz w:val="16"/>
                <w:szCs w:val="16"/>
              </w:rPr>
            </w:pPr>
          </w:p>
        </w:tc>
        <w:tc>
          <w:tcPr>
            <w:tcW w:w="959" w:type="dxa"/>
            <w:vAlign w:val="center"/>
          </w:tcPr>
          <w:p w14:paraId="35CF0B04" w14:textId="77777777" w:rsidR="00DB3AB3" w:rsidRPr="00B71333" w:rsidRDefault="00DB3AB3" w:rsidP="00EF4202">
            <w:pPr>
              <w:pStyle w:val="Default"/>
              <w:rPr>
                <w:color w:val="auto"/>
                <w:sz w:val="16"/>
                <w:szCs w:val="16"/>
              </w:rPr>
            </w:pPr>
          </w:p>
        </w:tc>
        <w:tc>
          <w:tcPr>
            <w:tcW w:w="968" w:type="dxa"/>
            <w:vAlign w:val="center"/>
          </w:tcPr>
          <w:p w14:paraId="62E65957" w14:textId="77777777" w:rsidR="00DB3AB3" w:rsidRPr="00B71333" w:rsidRDefault="00DB3AB3" w:rsidP="00EF4202">
            <w:pPr>
              <w:pStyle w:val="Default"/>
              <w:rPr>
                <w:color w:val="auto"/>
                <w:sz w:val="16"/>
                <w:szCs w:val="16"/>
              </w:rPr>
            </w:pPr>
          </w:p>
        </w:tc>
        <w:tc>
          <w:tcPr>
            <w:tcW w:w="1109" w:type="dxa"/>
            <w:vAlign w:val="center"/>
          </w:tcPr>
          <w:p w14:paraId="39FE43FC" w14:textId="77777777" w:rsidR="00DB3AB3" w:rsidRPr="00B71333" w:rsidRDefault="00DB3AB3" w:rsidP="00EF4202">
            <w:pPr>
              <w:pStyle w:val="Default"/>
              <w:rPr>
                <w:color w:val="auto"/>
                <w:sz w:val="16"/>
                <w:szCs w:val="16"/>
              </w:rPr>
            </w:pPr>
          </w:p>
        </w:tc>
        <w:tc>
          <w:tcPr>
            <w:tcW w:w="1175" w:type="dxa"/>
            <w:vAlign w:val="center"/>
          </w:tcPr>
          <w:p w14:paraId="6A82EB2B" w14:textId="77777777" w:rsidR="00DB3AB3" w:rsidRPr="00B71333" w:rsidRDefault="00DB3AB3" w:rsidP="00EF4202">
            <w:pPr>
              <w:pStyle w:val="Default"/>
              <w:rPr>
                <w:color w:val="auto"/>
                <w:sz w:val="16"/>
                <w:szCs w:val="16"/>
              </w:rPr>
            </w:pPr>
          </w:p>
        </w:tc>
        <w:tc>
          <w:tcPr>
            <w:tcW w:w="624" w:type="dxa"/>
            <w:vAlign w:val="center"/>
          </w:tcPr>
          <w:p w14:paraId="3B84BB8B" w14:textId="77777777" w:rsidR="00DB3AB3" w:rsidRPr="00B71333" w:rsidRDefault="00DB3AB3" w:rsidP="00EF4202">
            <w:pPr>
              <w:pStyle w:val="Default"/>
              <w:rPr>
                <w:color w:val="auto"/>
                <w:sz w:val="16"/>
                <w:szCs w:val="16"/>
              </w:rPr>
            </w:pPr>
          </w:p>
        </w:tc>
        <w:tc>
          <w:tcPr>
            <w:tcW w:w="1166" w:type="dxa"/>
            <w:vAlign w:val="center"/>
          </w:tcPr>
          <w:p w14:paraId="6E1BA50D" w14:textId="77777777" w:rsidR="00DB3AB3" w:rsidRPr="00B71333" w:rsidRDefault="00DB3AB3" w:rsidP="00EF4202">
            <w:pPr>
              <w:pStyle w:val="Default"/>
              <w:rPr>
                <w:color w:val="auto"/>
                <w:sz w:val="16"/>
                <w:szCs w:val="16"/>
              </w:rPr>
            </w:pPr>
          </w:p>
        </w:tc>
        <w:tc>
          <w:tcPr>
            <w:tcW w:w="772" w:type="dxa"/>
            <w:vAlign w:val="center"/>
          </w:tcPr>
          <w:p w14:paraId="3597D098" w14:textId="77777777" w:rsidR="00DB3AB3" w:rsidRPr="00B71333" w:rsidRDefault="00DB3AB3" w:rsidP="00EF4202">
            <w:pPr>
              <w:pStyle w:val="Default"/>
              <w:rPr>
                <w:color w:val="auto"/>
                <w:sz w:val="16"/>
                <w:szCs w:val="16"/>
              </w:rPr>
            </w:pPr>
          </w:p>
        </w:tc>
        <w:tc>
          <w:tcPr>
            <w:tcW w:w="1032" w:type="dxa"/>
            <w:vAlign w:val="center"/>
          </w:tcPr>
          <w:p w14:paraId="1C2A2E37" w14:textId="77777777" w:rsidR="00DB3AB3" w:rsidRPr="00B71333" w:rsidRDefault="00DB3AB3" w:rsidP="00EF4202">
            <w:pPr>
              <w:pStyle w:val="Default"/>
              <w:rPr>
                <w:color w:val="auto"/>
                <w:sz w:val="16"/>
                <w:szCs w:val="16"/>
              </w:rPr>
            </w:pPr>
          </w:p>
        </w:tc>
      </w:tr>
    </w:tbl>
    <w:p w14:paraId="1FEA6CCF" w14:textId="77777777" w:rsidR="00DB3AB3" w:rsidRDefault="00DB3AB3" w:rsidP="00DB3AB3">
      <w:pPr>
        <w:jc w:val="both"/>
        <w:rPr>
          <w:rFonts w:ascii="Arial" w:hAnsi="Arial" w:cs="Arial"/>
        </w:rPr>
      </w:pPr>
    </w:p>
    <w:p w14:paraId="7F5D012F" w14:textId="77777777" w:rsidR="00DB3AB3" w:rsidRDefault="00DB3AB3" w:rsidP="00DB3AB3">
      <w:pPr>
        <w:ind w:firstLine="708"/>
        <w:jc w:val="center"/>
        <w:rPr>
          <w:rFonts w:ascii="Arial" w:hAnsi="Arial" w:cs="Arial"/>
        </w:rPr>
      </w:pPr>
      <w:r>
        <w:rPr>
          <w:rFonts w:ascii="Arial" w:hAnsi="Arial" w:cs="Arial"/>
        </w:rPr>
        <w:t>[INSERIR NOME DO MEMBRO DA COMISSÃO]</w:t>
      </w:r>
    </w:p>
    <w:p w14:paraId="2E036CEC" w14:textId="77777777" w:rsidR="00DB3AB3" w:rsidRPr="00AD4BC4" w:rsidRDefault="00DB3AB3" w:rsidP="00DB3AB3">
      <w:pPr>
        <w:ind w:firstLine="708"/>
        <w:jc w:val="center"/>
        <w:rPr>
          <w:rFonts w:ascii="Arial" w:hAnsi="Arial" w:cs="Arial"/>
        </w:rPr>
      </w:pPr>
      <w:r>
        <w:rPr>
          <w:rFonts w:ascii="Arial" w:hAnsi="Arial" w:cs="Arial"/>
        </w:rPr>
        <w:t>[Inserir cargo 1º Membro da Comissão]</w:t>
      </w:r>
    </w:p>
    <w:p w14:paraId="54767585" w14:textId="77777777" w:rsidR="00DB3AB3" w:rsidRDefault="00DB3AB3" w:rsidP="00DB3AB3">
      <w:pPr>
        <w:ind w:firstLine="708"/>
        <w:jc w:val="center"/>
        <w:rPr>
          <w:rFonts w:ascii="Arial" w:hAnsi="Arial" w:cs="Arial"/>
        </w:rPr>
      </w:pPr>
      <w:r>
        <w:rPr>
          <w:rFonts w:ascii="Arial" w:hAnsi="Arial" w:cs="Arial"/>
        </w:rPr>
        <w:t>[INSERIR NOME DO MEMBRO DA COMISSÃO]</w:t>
      </w:r>
    </w:p>
    <w:p w14:paraId="5F875CB6" w14:textId="77777777" w:rsidR="00DB3AB3" w:rsidRPr="00AD4BC4" w:rsidRDefault="00DB3AB3" w:rsidP="00DB3AB3">
      <w:pPr>
        <w:ind w:firstLine="708"/>
        <w:jc w:val="center"/>
        <w:rPr>
          <w:rFonts w:ascii="Arial" w:hAnsi="Arial" w:cs="Arial"/>
        </w:rPr>
      </w:pPr>
      <w:r>
        <w:rPr>
          <w:rFonts w:ascii="Arial" w:hAnsi="Arial" w:cs="Arial"/>
        </w:rPr>
        <w:t>[Inserir cargo 2º Membro da Comissão]</w:t>
      </w:r>
    </w:p>
    <w:p w14:paraId="66FC9372" w14:textId="77777777" w:rsidR="00DB3AB3" w:rsidRDefault="00DB3AB3" w:rsidP="00DB3AB3">
      <w:pPr>
        <w:ind w:firstLine="708"/>
        <w:jc w:val="center"/>
        <w:rPr>
          <w:rFonts w:ascii="Arial" w:hAnsi="Arial" w:cs="Arial"/>
        </w:rPr>
      </w:pPr>
      <w:r>
        <w:rPr>
          <w:rFonts w:ascii="Arial" w:hAnsi="Arial" w:cs="Arial"/>
        </w:rPr>
        <w:t>[INSERIR NOME DO MEMBRO DA COMISSÃO]</w:t>
      </w:r>
    </w:p>
    <w:p w14:paraId="02B17ABF" w14:textId="77777777" w:rsidR="00DB3AB3" w:rsidRPr="00AD4BC4" w:rsidRDefault="00DB3AB3" w:rsidP="00DB3AB3">
      <w:pPr>
        <w:ind w:firstLine="708"/>
        <w:jc w:val="center"/>
        <w:rPr>
          <w:rFonts w:ascii="Arial" w:hAnsi="Arial" w:cs="Arial"/>
        </w:rPr>
      </w:pPr>
      <w:r>
        <w:rPr>
          <w:rFonts w:ascii="Arial" w:hAnsi="Arial" w:cs="Arial"/>
        </w:rPr>
        <w:t>[Inserir cargo 3º Membro da Comissão]</w:t>
      </w:r>
    </w:p>
    <w:p w14:paraId="000C17F3" w14:textId="77777777" w:rsidR="00F00BEB" w:rsidRDefault="00DB3AB3"/>
    <w:sectPr w:rsidR="00F00B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B3"/>
    <w:rsid w:val="00222907"/>
    <w:rsid w:val="002A3DDB"/>
    <w:rsid w:val="00B826FE"/>
    <w:rsid w:val="00DB3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93F9"/>
  <w15:chartTrackingRefBased/>
  <w15:docId w15:val="{5DB7074D-8A2C-45B2-A5C7-A899AFCF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3AB3"/>
    <w:rPr>
      <w:color w:val="0563C1" w:themeColor="hyperlink"/>
      <w:u w:val="single"/>
    </w:rPr>
  </w:style>
  <w:style w:type="paragraph" w:customStyle="1" w:styleId="Default">
    <w:name w:val="Default"/>
    <w:rsid w:val="00DB3AB3"/>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DB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4288</Characters>
  <Application>Microsoft Office Word</Application>
  <DocSecurity>0</DocSecurity>
  <Lines>35</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Lannes de Camargo</dc:creator>
  <cp:keywords/>
  <dc:description/>
  <cp:lastModifiedBy>Lia Lannes de Camargo</cp:lastModifiedBy>
  <cp:revision>1</cp:revision>
  <dcterms:created xsi:type="dcterms:W3CDTF">2022-03-15T22:15:00Z</dcterms:created>
  <dcterms:modified xsi:type="dcterms:W3CDTF">2022-03-15T22:15:00Z</dcterms:modified>
</cp:coreProperties>
</file>